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2259" w14:textId="597FD213" w:rsidR="00417C04" w:rsidRPr="00E5547D" w:rsidRDefault="00417C04" w:rsidP="001A2921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5547D">
        <w:rPr>
          <w:rFonts w:ascii="Times New Roman" w:eastAsia="Times New Roman" w:hAnsi="Times New Roman" w:cs="Times New Roman"/>
          <w:b/>
          <w:bCs/>
          <w:sz w:val="28"/>
          <w:szCs w:val="28"/>
        </w:rPr>
        <w:t>Appendix</w:t>
      </w:r>
    </w:p>
    <w:p w14:paraId="01F05BB8" w14:textId="77777777" w:rsidR="00417C04" w:rsidRPr="00E5547D" w:rsidRDefault="00417C04" w:rsidP="001A2921">
      <w:pPr>
        <w:shd w:val="clear" w:color="auto" w:fill="FFFFFF"/>
        <w:bidi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D">
        <w:rPr>
          <w:rFonts w:ascii="Times New Roman" w:eastAsia="Times New Roman" w:hAnsi="Times New Roman" w:cs="Times New Roman"/>
          <w:sz w:val="28"/>
          <w:szCs w:val="28"/>
        </w:rPr>
        <w:t>The following questionnaire was designed in the survey and sent to water professionals</w:t>
      </w:r>
      <w:r w:rsidR="001A2921" w:rsidRPr="00E554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FB5BD6" w14:textId="65A35D80" w:rsidR="00417C04" w:rsidRPr="00E5547D" w:rsidRDefault="00417C04" w:rsidP="001A2921">
      <w:pPr>
        <w:shd w:val="clear" w:color="auto" w:fill="FFFFFF"/>
        <w:bidi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D">
        <w:rPr>
          <w:rFonts w:ascii="Times New Roman" w:eastAsia="Times New Roman" w:hAnsi="Times New Roman" w:cs="Times New Roman"/>
          <w:sz w:val="28"/>
          <w:szCs w:val="28"/>
        </w:rPr>
        <w:t>Thank you for agreeing to participate in this survey. The questionnaire aims to collect information about importance of different criteria in flood resiliency of wastewater treatment plant.</w:t>
      </w:r>
      <w:r w:rsidR="0084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47D">
        <w:rPr>
          <w:rFonts w:ascii="Times New Roman" w:eastAsia="Times New Roman" w:hAnsi="Times New Roman" w:cs="Times New Roman"/>
          <w:sz w:val="28"/>
          <w:szCs w:val="28"/>
        </w:rPr>
        <w:t>Resiliency is here defined as the system</w:t>
      </w:r>
      <w:r w:rsidR="001A2921" w:rsidRPr="00E5547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E5547D">
        <w:rPr>
          <w:rFonts w:ascii="Times New Roman" w:eastAsia="Times New Roman" w:hAnsi="Times New Roman" w:cs="Times New Roman"/>
          <w:sz w:val="28"/>
          <w:szCs w:val="28"/>
        </w:rPr>
        <w:t>s ability to withstand the consequences and return to the functioning state. The survey is completely anonymous and remains strictly confidential.</w:t>
      </w:r>
      <w:r w:rsidR="0052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547D">
        <w:rPr>
          <w:rFonts w:ascii="Times New Roman" w:eastAsia="Times New Roman" w:hAnsi="Times New Roman" w:cs="Times New Roman"/>
          <w:sz w:val="28"/>
          <w:szCs w:val="28"/>
        </w:rPr>
        <w:t>Please assign a number to importance of each factor.</w:t>
      </w:r>
    </w:p>
    <w:p w14:paraId="51FF1136" w14:textId="77777777" w:rsidR="00417C04" w:rsidRPr="00E5547D" w:rsidRDefault="00417C04" w:rsidP="001A2921">
      <w:pPr>
        <w:shd w:val="clear" w:color="auto" w:fill="FFFFFF"/>
        <w:bidi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D">
        <w:rPr>
          <w:rFonts w:ascii="Times New Roman" w:eastAsia="Times New Roman" w:hAnsi="Times New Roman" w:cs="Times New Roman"/>
          <w:sz w:val="28"/>
          <w:szCs w:val="28"/>
        </w:rPr>
        <w:t>Again, thank you in advance for participating in this survey!</w:t>
      </w:r>
    </w:p>
    <w:p w14:paraId="414427BF" w14:textId="77777777" w:rsidR="00417C04" w:rsidRPr="00E5547D" w:rsidRDefault="00417C04" w:rsidP="001A2921">
      <w:pPr>
        <w:shd w:val="clear" w:color="auto" w:fill="FFFFFF"/>
        <w:bidi w:val="0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5547D">
        <w:rPr>
          <w:rFonts w:ascii="Times New Roman" w:eastAsia="Times New Roman" w:hAnsi="Times New Roman" w:cs="Times New Roman"/>
          <w:sz w:val="28"/>
          <w:szCs w:val="28"/>
        </w:rPr>
        <w:t>Please fill out the following tables: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3541"/>
        <w:gridCol w:w="1122"/>
        <w:gridCol w:w="1002"/>
        <w:gridCol w:w="1383"/>
        <w:gridCol w:w="879"/>
        <w:gridCol w:w="1099"/>
      </w:tblGrid>
      <w:tr w:rsidR="00417C04" w:rsidRPr="00E5547D" w14:paraId="03B3151B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EB5B023" w14:textId="77777777" w:rsidR="00417C04" w:rsidRPr="00E5547D" w:rsidRDefault="00417C04" w:rsidP="001A2921">
            <w:pPr>
              <w:spacing w:after="20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56" w:type="dxa"/>
            <w:gridSpan w:val="5"/>
          </w:tcPr>
          <w:p w14:paraId="4B33222E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Importance</w:t>
            </w:r>
          </w:p>
        </w:tc>
      </w:tr>
      <w:tr w:rsidR="00417C04" w:rsidRPr="00E5547D" w14:paraId="1C830C05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083D70D9" w14:textId="77777777" w:rsidR="00417C04" w:rsidRPr="00E5547D" w:rsidRDefault="00417C04" w:rsidP="001A2921">
            <w:pPr>
              <w:spacing w:after="20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Factors</w:t>
            </w:r>
          </w:p>
        </w:tc>
        <w:tc>
          <w:tcPr>
            <w:tcW w:w="1218" w:type="dxa"/>
          </w:tcPr>
          <w:p w14:paraId="381EE59C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Very 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ow</w:t>
            </w:r>
          </w:p>
          <w:p w14:paraId="145B7508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(1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</w:t>
            </w:r>
          </w:p>
        </w:tc>
        <w:tc>
          <w:tcPr>
            <w:tcW w:w="1080" w:type="dxa"/>
          </w:tcPr>
          <w:p w14:paraId="13A561D7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Low</w:t>
            </w:r>
          </w:p>
          <w:p w14:paraId="4AA735D8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(3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</w:t>
            </w:r>
          </w:p>
        </w:tc>
        <w:tc>
          <w:tcPr>
            <w:tcW w:w="1170" w:type="dxa"/>
          </w:tcPr>
          <w:p w14:paraId="0BC976EA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Moderate</w:t>
            </w:r>
          </w:p>
          <w:p w14:paraId="4AE3A182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(5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6)</w:t>
            </w:r>
          </w:p>
        </w:tc>
        <w:tc>
          <w:tcPr>
            <w:tcW w:w="900" w:type="dxa"/>
          </w:tcPr>
          <w:p w14:paraId="19B7E267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High</w:t>
            </w:r>
          </w:p>
          <w:p w14:paraId="3E754BA8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(7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8)</w:t>
            </w:r>
          </w:p>
        </w:tc>
        <w:tc>
          <w:tcPr>
            <w:tcW w:w="1188" w:type="dxa"/>
          </w:tcPr>
          <w:p w14:paraId="34E43563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Very 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igh</w:t>
            </w:r>
          </w:p>
          <w:p w14:paraId="31E0EA23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(9</w:t>
            </w:r>
            <w:r w:rsidR="001A2921"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10)</w:t>
            </w:r>
          </w:p>
        </w:tc>
      </w:tr>
      <w:tr w:rsidR="00417C04" w:rsidRPr="00E5547D" w14:paraId="490221F9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6A70E458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Adverse environmental impacts</w:t>
            </w:r>
          </w:p>
        </w:tc>
        <w:tc>
          <w:tcPr>
            <w:tcW w:w="1218" w:type="dxa"/>
          </w:tcPr>
          <w:p w14:paraId="07F4FD95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B0E909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9E8E90C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7411E9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8406226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658765E9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1DE22F3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Plant capacity</w:t>
            </w:r>
          </w:p>
        </w:tc>
        <w:tc>
          <w:tcPr>
            <w:tcW w:w="1218" w:type="dxa"/>
          </w:tcPr>
          <w:p w14:paraId="71EFA7C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0485E4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2913466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940C3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5A567A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4C0A7740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65D8479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Post stress recovery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(Number of days for returning to normal state)</w:t>
            </w:r>
          </w:p>
        </w:tc>
        <w:tc>
          <w:tcPr>
            <w:tcW w:w="1218" w:type="dxa"/>
          </w:tcPr>
          <w:p w14:paraId="1CAFCDD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79115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29C0F94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0E5EB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1A550E1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4D98C91A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488DA57F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Number of residents served</w:t>
            </w:r>
          </w:p>
        </w:tc>
        <w:tc>
          <w:tcPr>
            <w:tcW w:w="1218" w:type="dxa"/>
          </w:tcPr>
          <w:p w14:paraId="7D12CB6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123F8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1CFE48" w14:textId="77777777" w:rsidR="00417C04" w:rsidRPr="00E5547D" w:rsidRDefault="00417C04" w:rsidP="001A2921">
            <w:pPr>
              <w:spacing w:before="100" w:beforeAutospacing="1" w:after="2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53E5E0" w14:textId="77777777" w:rsidR="00417C04" w:rsidRPr="00E5547D" w:rsidRDefault="00417C04" w:rsidP="001A2921">
            <w:pPr>
              <w:spacing w:before="100" w:beforeAutospacing="1" w:after="2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CA6946B" w14:textId="77777777" w:rsidR="00417C04" w:rsidRPr="00E5547D" w:rsidRDefault="00417C04" w:rsidP="001A2921">
            <w:pPr>
              <w:spacing w:before="100" w:beforeAutospacing="1" w:after="2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6C6E3F16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967CA93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A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dditional load in flood time</w:t>
            </w:r>
          </w:p>
        </w:tc>
        <w:tc>
          <w:tcPr>
            <w:tcW w:w="1218" w:type="dxa"/>
          </w:tcPr>
          <w:p w14:paraId="1DD36B55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C94E2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FC829C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F86C13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156DD22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04BACD3E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5C7711BF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Critical flood elevation</w:t>
            </w:r>
          </w:p>
        </w:tc>
        <w:tc>
          <w:tcPr>
            <w:tcW w:w="1218" w:type="dxa"/>
          </w:tcPr>
          <w:p w14:paraId="5EF0B5CF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37BB5D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FBEBAC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8CF4E9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C9C56C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5609421F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0D60840A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Minimum inundation depth</w:t>
            </w:r>
          </w:p>
        </w:tc>
        <w:tc>
          <w:tcPr>
            <w:tcW w:w="1218" w:type="dxa"/>
          </w:tcPr>
          <w:p w14:paraId="4AB6362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48F4D9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8E611E2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3D48D7E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E8F99BA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375B3BB5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3C3A7907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Perc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ent of not at risk equipment</w:t>
            </w:r>
          </w:p>
        </w:tc>
        <w:tc>
          <w:tcPr>
            <w:tcW w:w="1218" w:type="dxa"/>
          </w:tcPr>
          <w:p w14:paraId="2A41CC4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456A66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0F98E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69CB8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1B2E72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1FCCA177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420E557D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DMR violations (violations of measured data from standard) in monitoring system</w:t>
            </w:r>
          </w:p>
        </w:tc>
        <w:tc>
          <w:tcPr>
            <w:tcW w:w="1218" w:type="dxa"/>
          </w:tcPr>
          <w:p w14:paraId="3AF261DF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A16A1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E7022DC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F653C5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AF8A48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39C7E68F" w14:textId="77777777" w:rsidTr="001A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085B2495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Damage cost from the most 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severe historical hurricane</w:t>
            </w:r>
          </w:p>
        </w:tc>
        <w:tc>
          <w:tcPr>
            <w:tcW w:w="1218" w:type="dxa"/>
          </w:tcPr>
          <w:p w14:paraId="2B970D25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E013F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B69D3A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</w:tcPr>
          <w:p w14:paraId="45EA667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</w:tcPr>
          <w:p w14:paraId="4C6AD706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4E4CC92" w14:textId="77777777" w:rsidR="00417C04" w:rsidRPr="00E5547D" w:rsidRDefault="00417C04" w:rsidP="001A2921">
      <w:pPr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888E7F7" w14:textId="77777777" w:rsidR="00417C04" w:rsidRPr="00E5547D" w:rsidRDefault="00417C04" w:rsidP="001A2921">
      <w:pPr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3620"/>
        <w:gridCol w:w="1103"/>
        <w:gridCol w:w="1014"/>
        <w:gridCol w:w="1289"/>
        <w:gridCol w:w="834"/>
        <w:gridCol w:w="1166"/>
      </w:tblGrid>
      <w:tr w:rsidR="00417C04" w:rsidRPr="00E5547D" w14:paraId="5023A43A" w14:textId="77777777" w:rsidTr="008D2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5737A9EC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96" w:type="dxa"/>
            <w:gridSpan w:val="5"/>
            <w:vAlign w:val="center"/>
          </w:tcPr>
          <w:p w14:paraId="0D7EAF9C" w14:textId="77777777" w:rsidR="00417C04" w:rsidRPr="00E5547D" w:rsidRDefault="00417C04" w:rsidP="001A2921">
            <w:pPr>
              <w:spacing w:after="200" w:line="36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Importance</w:t>
            </w:r>
          </w:p>
        </w:tc>
      </w:tr>
      <w:tr w:rsidR="00417C04" w:rsidRPr="00E5547D" w14:paraId="1E2714F4" w14:textId="77777777" w:rsidTr="008D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</w:tcPr>
          <w:p w14:paraId="02601386" w14:textId="77777777" w:rsidR="00417C04" w:rsidRPr="00E5547D" w:rsidRDefault="00417C04" w:rsidP="001A2921">
            <w:pPr>
              <w:spacing w:after="20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Factors</w:t>
            </w:r>
          </w:p>
        </w:tc>
        <w:tc>
          <w:tcPr>
            <w:tcW w:w="1168" w:type="dxa"/>
          </w:tcPr>
          <w:p w14:paraId="3AD9B5F9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Very Low</w:t>
            </w:r>
          </w:p>
          <w:p w14:paraId="4D26F770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(1-2)</w:t>
            </w:r>
          </w:p>
        </w:tc>
        <w:tc>
          <w:tcPr>
            <w:tcW w:w="1070" w:type="dxa"/>
          </w:tcPr>
          <w:p w14:paraId="6AEF5655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Low</w:t>
            </w:r>
          </w:p>
          <w:p w14:paraId="7ACFE220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(3-4)</w:t>
            </w:r>
          </w:p>
        </w:tc>
        <w:tc>
          <w:tcPr>
            <w:tcW w:w="1270" w:type="dxa"/>
          </w:tcPr>
          <w:p w14:paraId="1422F185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Moderate</w:t>
            </w:r>
          </w:p>
          <w:p w14:paraId="1B983397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(5-6)</w:t>
            </w:r>
          </w:p>
        </w:tc>
        <w:tc>
          <w:tcPr>
            <w:tcW w:w="845" w:type="dxa"/>
          </w:tcPr>
          <w:p w14:paraId="38FFEB24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High</w:t>
            </w:r>
          </w:p>
          <w:p w14:paraId="4CECA243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(7-8)</w:t>
            </w:r>
          </w:p>
        </w:tc>
        <w:tc>
          <w:tcPr>
            <w:tcW w:w="1243" w:type="dxa"/>
          </w:tcPr>
          <w:p w14:paraId="2D19CA8B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Very High</w:t>
            </w:r>
          </w:p>
          <w:p w14:paraId="517C070B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(9-10)</w:t>
            </w:r>
          </w:p>
        </w:tc>
      </w:tr>
      <w:tr w:rsidR="00417C04" w:rsidRPr="00E5547D" w14:paraId="25C04B95" w14:textId="77777777" w:rsidTr="008D2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5C5B93F4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Num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ber of plant technical staff</w:t>
            </w:r>
          </w:p>
        </w:tc>
        <w:tc>
          <w:tcPr>
            <w:tcW w:w="1168" w:type="dxa"/>
          </w:tcPr>
          <w:p w14:paraId="4047E423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107ED28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21D439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54D76D7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67904BF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530E3869" w14:textId="77777777" w:rsidTr="008D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5D2053B7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Availability of dewater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ing facilities</w:t>
            </w:r>
          </w:p>
        </w:tc>
        <w:tc>
          <w:tcPr>
            <w:tcW w:w="1168" w:type="dxa"/>
          </w:tcPr>
          <w:p w14:paraId="3C388359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F13CE7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15E3881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54E989D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1E58E321" w14:textId="77777777" w:rsidR="00417C04" w:rsidRPr="00E5547D" w:rsidRDefault="00417C04" w:rsidP="001A2921">
            <w:pPr>
              <w:spacing w:after="200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2D38307D" w14:textId="77777777" w:rsidTr="008D2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639702A9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Total risk avo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ided for every single dollar</w:t>
            </w:r>
          </w:p>
        </w:tc>
        <w:tc>
          <w:tcPr>
            <w:tcW w:w="1168" w:type="dxa"/>
          </w:tcPr>
          <w:p w14:paraId="334E0A8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3F69D8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707397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2B352F47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263797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257AAB2F" w14:textId="77777777" w:rsidTr="008D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5FA8E5DA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Existence 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of underground tunnel system</w:t>
            </w:r>
          </w:p>
        </w:tc>
        <w:tc>
          <w:tcPr>
            <w:tcW w:w="1168" w:type="dxa"/>
          </w:tcPr>
          <w:p w14:paraId="6D86D01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7EA9BEF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E6D110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29339815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3B5E233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60AAF250" w14:textId="77777777" w:rsidTr="008D2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6E06039C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Availability of WWTPs in </w:t>
            </w: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the neighboring area</w:t>
            </w:r>
          </w:p>
        </w:tc>
        <w:tc>
          <w:tcPr>
            <w:tcW w:w="1168" w:type="dxa"/>
          </w:tcPr>
          <w:p w14:paraId="77C57A32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DEDBA2F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40C9E2D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031CFCFE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A224B2F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17C04" w:rsidRPr="00E5547D" w14:paraId="3BDFA8D1" w14:textId="77777777" w:rsidTr="008D2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0" w:type="dxa"/>
            <w:vAlign w:val="center"/>
          </w:tcPr>
          <w:p w14:paraId="191EC64A" w14:textId="77777777" w:rsidR="00417C04" w:rsidRPr="00E5547D" w:rsidRDefault="00417C04" w:rsidP="001A2921">
            <w:pPr>
              <w:bidi w:val="0"/>
              <w:spacing w:after="20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55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On-site storage</w:t>
            </w:r>
          </w:p>
        </w:tc>
        <w:tc>
          <w:tcPr>
            <w:tcW w:w="1168" w:type="dxa"/>
          </w:tcPr>
          <w:p w14:paraId="4CA9CA44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8C1743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09314FB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14:paraId="459895DC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9B9E700" w14:textId="77777777" w:rsidR="00417C04" w:rsidRPr="00E5547D" w:rsidRDefault="00417C04" w:rsidP="001A2921">
            <w:pPr>
              <w:spacing w:before="100" w:beforeAutospacing="1" w:after="100" w:afterAutospacing="1" w:line="36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E5C2E26" w14:textId="77777777" w:rsidR="00417C04" w:rsidRPr="00E5547D" w:rsidRDefault="00417C04" w:rsidP="001A2921">
      <w:pPr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1632194" w14:textId="77777777" w:rsidR="00417C04" w:rsidRPr="00E5547D" w:rsidRDefault="00417C04" w:rsidP="001A2921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547D">
        <w:rPr>
          <w:rFonts w:ascii="Times New Roman" w:eastAsia="Times New Roman" w:hAnsi="Times New Roman" w:cs="Times New Roman"/>
          <w:sz w:val="28"/>
          <w:szCs w:val="28"/>
        </w:rPr>
        <w:t>Please provide your comments, suggestions of feedback if any.</w:t>
      </w:r>
    </w:p>
    <w:p w14:paraId="530BDFF7" w14:textId="77777777" w:rsidR="00417C04" w:rsidRPr="00E5547D" w:rsidRDefault="00417C04" w:rsidP="001A2921">
      <w:pPr>
        <w:tabs>
          <w:tab w:val="right" w:pos="90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9BDF3A" w14:textId="77777777" w:rsidR="00417C04" w:rsidRPr="00E5547D" w:rsidRDefault="00417C04" w:rsidP="001A2921">
      <w:pPr>
        <w:tabs>
          <w:tab w:val="right" w:pos="9026"/>
        </w:tabs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F6081" w14:textId="77777777" w:rsidR="00676802" w:rsidRPr="00E5547D" w:rsidRDefault="00C67840" w:rsidP="001A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B603B1" w14:textId="77777777" w:rsidR="001A2921" w:rsidRPr="00E5547D" w:rsidRDefault="001A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921" w:rsidRPr="00E5547D" w:rsidSect="00581C38">
      <w:pgSz w:w="11906" w:h="16838"/>
      <w:pgMar w:top="1440" w:right="1440" w:bottom="1440" w:left="1440" w:header="709" w:footer="709" w:gutter="0"/>
      <w:lnNumType w:countBy="1" w:restart="continuous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04"/>
    <w:rsid w:val="001A2921"/>
    <w:rsid w:val="003716E1"/>
    <w:rsid w:val="0041411F"/>
    <w:rsid w:val="00417C04"/>
    <w:rsid w:val="004E3102"/>
    <w:rsid w:val="00526525"/>
    <w:rsid w:val="00570266"/>
    <w:rsid w:val="007C0497"/>
    <w:rsid w:val="00846639"/>
    <w:rsid w:val="008A6287"/>
    <w:rsid w:val="009E37F3"/>
    <w:rsid w:val="00A645FE"/>
    <w:rsid w:val="00BC4493"/>
    <w:rsid w:val="00C67840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E2E46"/>
  <w15:docId w15:val="{EAD6B5D4-0DDB-4C99-9348-2884D937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04"/>
    <w:pPr>
      <w:bidi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17C04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7C04"/>
  </w:style>
  <w:style w:type="paragraph" w:styleId="BalloonText">
    <w:name w:val="Balloon Text"/>
    <w:basedOn w:val="Normal"/>
    <w:link w:val="BalloonTextChar"/>
    <w:uiPriority w:val="99"/>
    <w:semiHidden/>
    <w:unhideWhenUsed/>
    <w:rsid w:val="00846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9"/>
    <w:rPr>
      <w:rFonts w:ascii="Lucida Grande" w:hAnsi="Lucida Grande" w:cs="Lucida Grande"/>
      <w:sz w:val="18"/>
      <w:szCs w:val="18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B561-F376-4B21-A7BE-E10896FF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Gulseven</dc:creator>
  <cp:lastModifiedBy>Vijayarajan S.</cp:lastModifiedBy>
  <cp:revision>5</cp:revision>
  <dcterms:created xsi:type="dcterms:W3CDTF">2016-10-20T10:52:00Z</dcterms:created>
  <dcterms:modified xsi:type="dcterms:W3CDTF">2016-11-11T12:04:00Z</dcterms:modified>
</cp:coreProperties>
</file>